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1C" w:rsidRPr="00D0663F" w:rsidRDefault="00E740F8" w:rsidP="00D0663F">
      <w:pPr>
        <w:shd w:val="clear" w:color="auto" w:fill="FFFFFF"/>
        <w:spacing w:after="0" w:line="360" w:lineRule="auto"/>
        <w:ind w:left="284" w:right="284"/>
        <w:jc w:val="center"/>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b/>
          <w:color w:val="000000"/>
          <w:sz w:val="28"/>
          <w:szCs w:val="28"/>
          <w:lang w:eastAsia="it-IT"/>
        </w:rPr>
        <w:t>TRIBUNALE DI FIRENZE</w:t>
      </w:r>
    </w:p>
    <w:p w:rsidR="00DB6D1C" w:rsidRPr="00D0663F" w:rsidRDefault="00E740F8" w:rsidP="00D0663F">
      <w:pPr>
        <w:shd w:val="clear" w:color="auto" w:fill="FFFFFF"/>
        <w:spacing w:after="0" w:line="360" w:lineRule="auto"/>
        <w:ind w:left="284" w:right="284"/>
        <w:jc w:val="center"/>
        <w:rPr>
          <w:rFonts w:ascii="Times New Roman" w:eastAsia="Times New Roman" w:hAnsi="Times New Roman" w:cs="Times New Roman"/>
          <w:smallCaps/>
          <w:color w:val="000000"/>
          <w:sz w:val="28"/>
          <w:szCs w:val="28"/>
          <w:lang w:eastAsia="it-IT"/>
        </w:rPr>
      </w:pPr>
      <w:r w:rsidRPr="00D0663F">
        <w:rPr>
          <w:rFonts w:ascii="Times New Roman" w:eastAsia="Times New Roman" w:hAnsi="Times New Roman" w:cs="Times New Roman"/>
          <w:smallCaps/>
          <w:color w:val="000000"/>
          <w:sz w:val="28"/>
          <w:szCs w:val="28"/>
          <w:lang w:eastAsia="it-IT"/>
        </w:rPr>
        <w:t xml:space="preserve">Sezione terza </w:t>
      </w:r>
      <w:r w:rsidR="00DB6D1C" w:rsidRPr="00D0663F">
        <w:rPr>
          <w:rFonts w:ascii="Times New Roman" w:eastAsia="Times New Roman" w:hAnsi="Times New Roman" w:cs="Times New Roman"/>
          <w:smallCaps/>
          <w:color w:val="000000"/>
          <w:sz w:val="28"/>
          <w:szCs w:val="28"/>
          <w:lang w:eastAsia="it-IT"/>
        </w:rPr>
        <w:t>civile - Esecuzioni immobiliari</w:t>
      </w:r>
    </w:p>
    <w:p w:rsidR="00D0663F" w:rsidRPr="00D0663F" w:rsidRDefault="00D0663F" w:rsidP="00D0663F">
      <w:pPr>
        <w:spacing w:line="360" w:lineRule="auto"/>
        <w:ind w:left="284" w:right="284"/>
        <w:jc w:val="right"/>
        <w:rPr>
          <w:rFonts w:ascii="Times New Roman" w:hAnsi="Times New Roman" w:cs="Times New Roman"/>
          <w:sz w:val="28"/>
          <w:szCs w:val="28"/>
        </w:rPr>
      </w:pPr>
      <w:r w:rsidRPr="00D0663F">
        <w:rPr>
          <w:rFonts w:ascii="Times New Roman" w:hAnsi="Times New Roman" w:cs="Times New Roman"/>
          <w:sz w:val="28"/>
          <w:szCs w:val="28"/>
        </w:rPr>
        <w:t>Al Presidente del Collegio dei geometri</w:t>
      </w:r>
    </w:p>
    <w:p w:rsidR="00D0663F" w:rsidRPr="00D0663F" w:rsidRDefault="00D0663F" w:rsidP="00D0663F">
      <w:pPr>
        <w:spacing w:line="360" w:lineRule="auto"/>
        <w:ind w:left="284" w:right="284"/>
        <w:jc w:val="right"/>
        <w:rPr>
          <w:rFonts w:ascii="Times New Roman" w:hAnsi="Times New Roman" w:cs="Times New Roman"/>
          <w:sz w:val="28"/>
          <w:szCs w:val="28"/>
        </w:rPr>
      </w:pPr>
      <w:r w:rsidRPr="00D0663F">
        <w:rPr>
          <w:rFonts w:ascii="Times New Roman" w:hAnsi="Times New Roman" w:cs="Times New Roman"/>
          <w:sz w:val="28"/>
          <w:szCs w:val="28"/>
        </w:rPr>
        <w:t>Al presidente dell’Ordine degli Architetti</w:t>
      </w:r>
    </w:p>
    <w:p w:rsidR="00D0663F" w:rsidRPr="00D0663F" w:rsidRDefault="00D0663F" w:rsidP="00D0663F">
      <w:pPr>
        <w:spacing w:line="360" w:lineRule="auto"/>
        <w:ind w:left="284" w:right="284"/>
        <w:jc w:val="right"/>
        <w:rPr>
          <w:rFonts w:ascii="Times New Roman" w:hAnsi="Times New Roman" w:cs="Times New Roman"/>
          <w:sz w:val="28"/>
          <w:szCs w:val="28"/>
        </w:rPr>
      </w:pPr>
      <w:r w:rsidRPr="00D0663F">
        <w:rPr>
          <w:rFonts w:ascii="Times New Roman" w:hAnsi="Times New Roman" w:cs="Times New Roman"/>
          <w:sz w:val="28"/>
          <w:szCs w:val="28"/>
        </w:rPr>
        <w:t>Al Presidente dell’Ordine degli ingegneri</w:t>
      </w:r>
    </w:p>
    <w:p w:rsidR="00D0663F" w:rsidRPr="00D0663F" w:rsidRDefault="00D0663F" w:rsidP="00D0663F">
      <w:pPr>
        <w:spacing w:line="360" w:lineRule="auto"/>
        <w:ind w:left="284" w:right="284"/>
        <w:jc w:val="right"/>
        <w:rPr>
          <w:rFonts w:ascii="Times New Roman" w:hAnsi="Times New Roman" w:cs="Times New Roman"/>
          <w:sz w:val="28"/>
          <w:szCs w:val="28"/>
        </w:rPr>
      </w:pPr>
      <w:r w:rsidRPr="00D0663F">
        <w:rPr>
          <w:rFonts w:ascii="Times New Roman" w:hAnsi="Times New Roman" w:cs="Times New Roman"/>
          <w:sz w:val="28"/>
          <w:szCs w:val="28"/>
        </w:rPr>
        <w:t>Al presidente dell’Ordine degli avvocati</w:t>
      </w:r>
    </w:p>
    <w:p w:rsidR="00D0663F" w:rsidRPr="00D0663F" w:rsidRDefault="00D0663F" w:rsidP="00D0663F">
      <w:pPr>
        <w:spacing w:line="360" w:lineRule="auto"/>
        <w:ind w:left="284" w:right="284"/>
        <w:jc w:val="right"/>
        <w:rPr>
          <w:rFonts w:ascii="Times New Roman" w:hAnsi="Times New Roman" w:cs="Times New Roman"/>
          <w:sz w:val="28"/>
          <w:szCs w:val="28"/>
        </w:rPr>
      </w:pPr>
      <w:r w:rsidRPr="00D0663F">
        <w:rPr>
          <w:rFonts w:ascii="Times New Roman" w:hAnsi="Times New Roman" w:cs="Times New Roman"/>
          <w:sz w:val="28"/>
          <w:szCs w:val="28"/>
        </w:rPr>
        <w:t>Al Presidente del Consiglio Notarile</w:t>
      </w:r>
    </w:p>
    <w:p w:rsidR="00D0663F" w:rsidRPr="00D0663F" w:rsidRDefault="00D0663F" w:rsidP="00D0663F">
      <w:pPr>
        <w:spacing w:line="360" w:lineRule="auto"/>
        <w:ind w:left="284" w:right="284"/>
        <w:jc w:val="right"/>
        <w:rPr>
          <w:rFonts w:ascii="Times New Roman" w:hAnsi="Times New Roman" w:cs="Times New Roman"/>
          <w:sz w:val="28"/>
          <w:szCs w:val="28"/>
        </w:rPr>
      </w:pPr>
      <w:r w:rsidRPr="00D0663F">
        <w:rPr>
          <w:rFonts w:ascii="Times New Roman" w:hAnsi="Times New Roman" w:cs="Times New Roman"/>
          <w:sz w:val="28"/>
          <w:szCs w:val="28"/>
        </w:rPr>
        <w:t>Al presidente dell’Ordine dei dottori  Commercialisti</w:t>
      </w:r>
    </w:p>
    <w:p w:rsidR="00D0663F" w:rsidRPr="00D0663F" w:rsidRDefault="00D0663F" w:rsidP="00D0663F">
      <w:pPr>
        <w:spacing w:line="360" w:lineRule="auto"/>
        <w:ind w:left="284" w:right="284"/>
        <w:rPr>
          <w:rFonts w:ascii="Times New Roman" w:hAnsi="Times New Roman" w:cs="Times New Roman"/>
          <w:sz w:val="28"/>
          <w:szCs w:val="28"/>
        </w:rPr>
      </w:pPr>
    </w:p>
    <w:p w:rsidR="00D0663F" w:rsidRPr="00D0663F" w:rsidRDefault="00D0663F" w:rsidP="00D0663F">
      <w:pPr>
        <w:spacing w:line="360" w:lineRule="auto"/>
        <w:ind w:left="284" w:right="284"/>
        <w:rPr>
          <w:rFonts w:ascii="Times New Roman" w:hAnsi="Times New Roman" w:cs="Times New Roman"/>
          <w:sz w:val="28"/>
          <w:szCs w:val="28"/>
        </w:rPr>
      </w:pPr>
      <w:r w:rsidRPr="00D0663F">
        <w:rPr>
          <w:rFonts w:ascii="Times New Roman" w:hAnsi="Times New Roman" w:cs="Times New Roman"/>
          <w:sz w:val="28"/>
          <w:szCs w:val="28"/>
        </w:rPr>
        <w:t>Oggetto: liquidazione dei compensi all’esperto e allo stimatore.</w:t>
      </w:r>
    </w:p>
    <w:p w:rsidR="00D0663F" w:rsidRPr="00D0663F" w:rsidRDefault="00D0663F" w:rsidP="00D0663F">
      <w:pPr>
        <w:shd w:val="clear" w:color="auto" w:fill="FFFFFF"/>
        <w:spacing w:after="0" w:line="360" w:lineRule="auto"/>
        <w:ind w:left="284" w:right="284"/>
        <w:jc w:val="center"/>
        <w:rPr>
          <w:rFonts w:ascii="Times New Roman" w:eastAsia="Times New Roman" w:hAnsi="Times New Roman" w:cs="Times New Roman"/>
          <w:color w:val="000000"/>
          <w:sz w:val="28"/>
          <w:szCs w:val="28"/>
          <w:lang w:eastAsia="it-IT"/>
        </w:rPr>
      </w:pPr>
    </w:p>
    <w:p w:rsidR="00DB6D1C" w:rsidRDefault="00DB6D1C" w:rsidP="00D0663F">
      <w:pPr>
        <w:shd w:val="clear" w:color="auto" w:fill="FFFFFF"/>
        <w:spacing w:after="0" w:line="360" w:lineRule="auto"/>
        <w:ind w:left="284" w:right="284" w:firstLine="708"/>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Il giudice dell’esecuzione,</w:t>
      </w:r>
    </w:p>
    <w:p w:rsidR="00D0663F" w:rsidRDefault="00D0663F" w:rsidP="00D0663F">
      <w:pPr>
        <w:shd w:val="clear" w:color="auto" w:fill="FFFFFF"/>
        <w:spacing w:after="0" w:line="360" w:lineRule="auto"/>
        <w:ind w:left="284" w:right="284" w:firstLine="708"/>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preso atto delle difficoltà riscontrate da numerosi periti stimatori nell’ottenere dai creditori procedente integrazioni dell’acconto già ricevuto;</w:t>
      </w:r>
    </w:p>
    <w:p w:rsidR="00D0663F" w:rsidRDefault="00D0663F" w:rsidP="00D0663F">
      <w:pPr>
        <w:shd w:val="clear" w:color="auto" w:fill="FFFFFF"/>
        <w:spacing w:after="0" w:line="360" w:lineRule="auto"/>
        <w:ind w:left="284" w:right="284" w:firstLine="708"/>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a parziale modifica delle disposizioni impartite in data 8 settembre 2015,</w:t>
      </w:r>
    </w:p>
    <w:p w:rsidR="00DB6D1C" w:rsidRPr="00D0663F" w:rsidRDefault="00DB6D1C" w:rsidP="00D0663F">
      <w:pPr>
        <w:shd w:val="clear" w:color="auto" w:fill="FFFFFF"/>
        <w:spacing w:after="0" w:line="360" w:lineRule="auto"/>
        <w:ind w:left="284" w:right="284" w:firstLine="708"/>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visto l’art. 161, ultimo comma, delle disposizioni di attuazione al codice di procedura civile, introdotto dalla legge n. 132 del 2015, ai sensi del quale: “</w:t>
      </w:r>
      <w:r w:rsidRPr="00D0663F">
        <w:rPr>
          <w:rFonts w:ascii="Times New Roman" w:eastAsia="Times New Roman" w:hAnsi="Times New Roman" w:cs="Times New Roman"/>
          <w:i/>
          <w:color w:val="000000"/>
          <w:sz w:val="28"/>
          <w:szCs w:val="28"/>
          <w:lang w:eastAsia="it-IT"/>
        </w:rPr>
        <w:t>Il compenso dell’esperto o dello stimatore nominato dal giudice o dall’ufficiale giudiziario è calcolato sulla base del prezzo ricavato dalla vendita. Prima della vendita non possono essere liquidati acconti in misura superiore al cinquanta per cento del compenso calcolato sulla base del valore di stima”</w:t>
      </w:r>
      <w:r w:rsidRPr="00D0663F">
        <w:rPr>
          <w:rFonts w:ascii="Times New Roman" w:eastAsia="Times New Roman" w:hAnsi="Times New Roman" w:cs="Times New Roman"/>
          <w:color w:val="000000"/>
          <w:sz w:val="28"/>
          <w:szCs w:val="28"/>
          <w:lang w:eastAsia="it-IT"/>
        </w:rPr>
        <w:t>;</w:t>
      </w:r>
    </w:p>
    <w:p w:rsidR="00DB6D1C" w:rsidRPr="00D0663F" w:rsidRDefault="00DB6D1C" w:rsidP="00D0663F">
      <w:pPr>
        <w:shd w:val="clear" w:color="auto" w:fill="FFFFFF"/>
        <w:spacing w:after="0" w:line="360" w:lineRule="auto"/>
        <w:ind w:left="284" w:right="284" w:firstLine="708"/>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considerato che lo stesso si applica ai sensi dell’art. 24 della l. n. 132 del 2015  a far data dalla pubblicazione della legge in gazzetta ufficiale avvenuta in data 20 agosto 2015 (n. 192);</w:t>
      </w:r>
    </w:p>
    <w:p w:rsidR="00DB6D1C" w:rsidRPr="00D0663F" w:rsidRDefault="00DB6D1C" w:rsidP="00D0663F">
      <w:pPr>
        <w:shd w:val="clear" w:color="auto" w:fill="FFFFFF"/>
        <w:spacing w:after="0" w:line="360" w:lineRule="auto"/>
        <w:ind w:left="284" w:right="284" w:firstLine="708"/>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 xml:space="preserve">rilevato che quanto all’individuazione delle liquidazioni alle quali tale disposizione dovrà applicarsi deve farsi riferimento all’insegnamento della </w:t>
      </w:r>
      <w:r w:rsidRPr="00D0663F">
        <w:rPr>
          <w:rFonts w:ascii="Times New Roman" w:eastAsia="Times New Roman" w:hAnsi="Times New Roman" w:cs="Times New Roman"/>
          <w:color w:val="000000"/>
          <w:sz w:val="28"/>
          <w:szCs w:val="28"/>
          <w:lang w:eastAsia="it-IT"/>
        </w:rPr>
        <w:lastRenderedPageBreak/>
        <w:t xml:space="preserve">Suprema Corte di Cassazione enunciato in tema di liquidazione delle competenze di un professionista (nella specie avvocati) sia pure in forma di </w:t>
      </w:r>
      <w:proofErr w:type="spellStart"/>
      <w:r w:rsidRPr="00D0663F">
        <w:rPr>
          <w:rFonts w:ascii="Times New Roman" w:eastAsia="Times New Roman" w:hAnsi="Times New Roman" w:cs="Times New Roman"/>
          <w:i/>
          <w:color w:val="000000"/>
          <w:sz w:val="28"/>
          <w:szCs w:val="28"/>
          <w:lang w:eastAsia="it-IT"/>
        </w:rPr>
        <w:t>obiter</w:t>
      </w:r>
      <w:proofErr w:type="spellEnd"/>
      <w:r w:rsidRPr="00D0663F">
        <w:rPr>
          <w:rFonts w:ascii="Times New Roman" w:eastAsia="Times New Roman" w:hAnsi="Times New Roman" w:cs="Times New Roman"/>
          <w:i/>
          <w:color w:val="000000"/>
          <w:sz w:val="28"/>
          <w:szCs w:val="28"/>
          <w:lang w:eastAsia="it-IT"/>
        </w:rPr>
        <w:t xml:space="preserve"> </w:t>
      </w:r>
      <w:proofErr w:type="spellStart"/>
      <w:r w:rsidRPr="00D0663F">
        <w:rPr>
          <w:rFonts w:ascii="Times New Roman" w:eastAsia="Times New Roman" w:hAnsi="Times New Roman" w:cs="Times New Roman"/>
          <w:i/>
          <w:color w:val="000000"/>
          <w:sz w:val="28"/>
          <w:szCs w:val="28"/>
          <w:lang w:eastAsia="it-IT"/>
        </w:rPr>
        <w:t>dictum</w:t>
      </w:r>
      <w:proofErr w:type="spellEnd"/>
      <w:r w:rsidRPr="00D0663F">
        <w:rPr>
          <w:rFonts w:ascii="Times New Roman" w:eastAsia="Times New Roman" w:hAnsi="Times New Roman" w:cs="Times New Roman"/>
          <w:color w:val="000000"/>
          <w:sz w:val="28"/>
          <w:szCs w:val="28"/>
          <w:lang w:eastAsia="it-IT"/>
        </w:rPr>
        <w:t xml:space="preserve"> dalle Sezioni Unite della Corte di Cassazione con le sentenze </w:t>
      </w:r>
      <w:proofErr w:type="spellStart"/>
      <w:r w:rsidRPr="00D0663F">
        <w:rPr>
          <w:rFonts w:ascii="Times New Roman" w:eastAsia="Times New Roman" w:hAnsi="Times New Roman" w:cs="Times New Roman"/>
          <w:color w:val="000000"/>
          <w:sz w:val="28"/>
          <w:szCs w:val="28"/>
          <w:lang w:eastAsia="it-IT"/>
        </w:rPr>
        <w:t>nn</w:t>
      </w:r>
      <w:proofErr w:type="spellEnd"/>
      <w:r w:rsidRPr="00D0663F">
        <w:rPr>
          <w:rFonts w:ascii="Times New Roman" w:eastAsia="Times New Roman" w:hAnsi="Times New Roman" w:cs="Times New Roman"/>
          <w:color w:val="000000"/>
          <w:sz w:val="28"/>
          <w:szCs w:val="28"/>
          <w:lang w:eastAsia="it-IT"/>
        </w:rPr>
        <w:t xml:space="preserve">. 17.406 e 17405 del 2012 e ribadito ex professo da </w:t>
      </w:r>
      <w:proofErr w:type="spellStart"/>
      <w:r w:rsidRPr="00D0663F">
        <w:rPr>
          <w:rFonts w:ascii="Times New Roman" w:eastAsia="Times New Roman" w:hAnsi="Times New Roman" w:cs="Times New Roman"/>
          <w:color w:val="000000"/>
          <w:sz w:val="28"/>
          <w:szCs w:val="28"/>
          <w:lang w:eastAsia="it-IT"/>
        </w:rPr>
        <w:t>Cass</w:t>
      </w:r>
      <w:proofErr w:type="spellEnd"/>
      <w:r w:rsidRPr="00D0663F">
        <w:rPr>
          <w:rFonts w:ascii="Times New Roman" w:eastAsia="Times New Roman" w:hAnsi="Times New Roman" w:cs="Times New Roman"/>
          <w:color w:val="000000"/>
          <w:sz w:val="28"/>
          <w:szCs w:val="28"/>
          <w:lang w:eastAsia="it-IT"/>
        </w:rPr>
        <w:t xml:space="preserve">. Sez. 3 n. 23318/2012, per cui "In tema di spese processuali, agli effetti del D.M. 20 luglio 2012, n. 140, art. 41 il quale ha dato attuazione al D.L. 24 gennaio 2012, n. 1, art. 9, comma 2, convertito in L. 24 marzo 2012, n. 27, i nuovi parametri, cui devono essere commisurati i compensi dei professionisti in luogo delle abrogate tariffe professionali, sono da applicare ogni qual volta la liquidazione giudiziale intervenga in un momento successivo alla data di entrata in vigore del predetto decreto e si riferisca al compenso spettante ad un professionista che, a quella data, non abbia ancora completato la propria prestazione professionale, </w:t>
      </w:r>
      <w:proofErr w:type="spellStart"/>
      <w:r w:rsidRPr="00D0663F">
        <w:rPr>
          <w:rFonts w:ascii="Times New Roman" w:eastAsia="Times New Roman" w:hAnsi="Times New Roman" w:cs="Times New Roman"/>
          <w:color w:val="000000"/>
          <w:sz w:val="28"/>
          <w:szCs w:val="28"/>
          <w:lang w:eastAsia="it-IT"/>
        </w:rPr>
        <w:t>ancorchè</w:t>
      </w:r>
      <w:proofErr w:type="spellEnd"/>
      <w:r w:rsidRPr="00D0663F">
        <w:rPr>
          <w:rFonts w:ascii="Times New Roman" w:eastAsia="Times New Roman" w:hAnsi="Times New Roman" w:cs="Times New Roman"/>
          <w:color w:val="000000"/>
          <w:sz w:val="28"/>
          <w:szCs w:val="28"/>
          <w:lang w:eastAsia="it-IT"/>
        </w:rPr>
        <w:t xml:space="preserve"> tale prestazione abbia avuto inizio e si sia in parte svolta quando ancora erano in vigore le tariffe abrogate, evocando l'accezione omnicomprensiva di "compenso" la nozione di un corrispettivo unitario per l'opera complessivamente prestata";</w:t>
      </w:r>
    </w:p>
    <w:p w:rsidR="00DB6D1C" w:rsidRPr="00D0663F" w:rsidRDefault="00DB6D1C" w:rsidP="00D0663F">
      <w:pPr>
        <w:shd w:val="clear" w:color="auto" w:fill="FFFFFF"/>
        <w:spacing w:after="0" w:line="360" w:lineRule="auto"/>
        <w:ind w:left="284" w:right="284" w:firstLine="708"/>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 xml:space="preserve">ritenuto pertanto che facendo applicazioni di tali principi la nuova modalità di liquidazione come riportata dalla predetta norma deve reputarsi applicabile a tutte le prestazioni professionali che siano state completate dopo la data del 20.8.2015 (data di entrata in vigore della citata disposizione), ancorché iniziate in data antecedente, dovendo il termine ultimo essere individuato nel deposito dell’elaborato peritale; </w:t>
      </w:r>
    </w:p>
    <w:p w:rsidR="00DB6D1C" w:rsidRPr="00D0663F" w:rsidRDefault="00DB6D1C" w:rsidP="00D0663F">
      <w:pPr>
        <w:shd w:val="clear" w:color="auto" w:fill="FFFFFF"/>
        <w:spacing w:after="0" w:line="360" w:lineRule="auto"/>
        <w:ind w:left="284" w:right="284" w:firstLine="708"/>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 xml:space="preserve">ritenuto che è opportuno fornire indicazioni sulle liquidazione dei periti al fine di garantire trasparenza, efficienza ed efficacia dell’attività, in uno con spirito di collaborazione con i propri ausiliari le cui professionalità debbono essere garantite ed implementate anche a fronte delle modifiche normative che hanno appuntato l’attenzione sulla perizia (v. art. 173 </w:t>
      </w:r>
      <w:proofErr w:type="spellStart"/>
      <w:r w:rsidRPr="00D0663F">
        <w:rPr>
          <w:rFonts w:ascii="Times New Roman" w:eastAsia="Times New Roman" w:hAnsi="Times New Roman" w:cs="Times New Roman"/>
          <w:color w:val="000000"/>
          <w:sz w:val="28"/>
          <w:szCs w:val="28"/>
          <w:lang w:eastAsia="it-IT"/>
        </w:rPr>
        <w:t>c.p.c.</w:t>
      </w:r>
      <w:proofErr w:type="spellEnd"/>
      <w:r w:rsidRPr="00D0663F">
        <w:rPr>
          <w:rFonts w:ascii="Times New Roman" w:eastAsia="Times New Roman" w:hAnsi="Times New Roman" w:cs="Times New Roman"/>
          <w:color w:val="000000"/>
          <w:sz w:val="28"/>
          <w:szCs w:val="28"/>
          <w:lang w:eastAsia="it-IT"/>
        </w:rPr>
        <w:t>) non più solo come mera stima dell’immobile, ma volta alla verifica sotto il profilo tecnico della conformità urbanistica e più in generale della commerciabilità del bene staggito;</w:t>
      </w:r>
    </w:p>
    <w:p w:rsidR="00DB6D1C" w:rsidRPr="00D0663F" w:rsidRDefault="00DB6D1C" w:rsidP="00D0663F">
      <w:pPr>
        <w:shd w:val="clear" w:color="auto" w:fill="FFFFFF"/>
        <w:spacing w:after="0" w:line="360" w:lineRule="auto"/>
        <w:ind w:left="284" w:right="284" w:firstLine="708"/>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lastRenderedPageBreak/>
        <w:t xml:space="preserve"> reputato che la citata disposizione </w:t>
      </w:r>
      <w:proofErr w:type="spellStart"/>
      <w:r w:rsidRPr="00D0663F">
        <w:rPr>
          <w:rFonts w:ascii="Times New Roman" w:eastAsia="Times New Roman" w:hAnsi="Times New Roman" w:cs="Times New Roman"/>
          <w:color w:val="000000"/>
          <w:sz w:val="28"/>
          <w:szCs w:val="28"/>
          <w:lang w:eastAsia="it-IT"/>
        </w:rPr>
        <w:t>disposizione</w:t>
      </w:r>
      <w:proofErr w:type="spellEnd"/>
      <w:r w:rsidRPr="00D0663F">
        <w:rPr>
          <w:rFonts w:ascii="Times New Roman" w:eastAsia="Times New Roman" w:hAnsi="Times New Roman" w:cs="Times New Roman"/>
          <w:color w:val="000000"/>
          <w:sz w:val="28"/>
          <w:szCs w:val="28"/>
          <w:lang w:eastAsia="it-IT"/>
        </w:rPr>
        <w:t>, in quanto espressamente riferita, quale parametro per la liquidazione del compenso, al prezzo ricavato dalla vendita, non possa che ritenersi esclusivamente applicabile all’attività di stima dell’immobile pignorato (la sola per la quale assuma rilievo, quale parametro per la liquidazione del compenso, l’importo stimato, ai sensi dell’art. 13 delle tabelle contenenti la misura degli onorari fissi e di quelli variabili dei periti e dei consulenti tecnici, approvate con DPR n. 820 del 1983, come rideterminate dal DM 30 maggio 2002), mentre deve escludersi che possa applicarsi alle ulteriori attività, poste in essere dall’esperto ai fini di dare risposta a tutti i quesiti contenuti nel verbale di conferimento dell’incarico;</w:t>
      </w:r>
    </w:p>
    <w:p w:rsidR="00DB6D1C" w:rsidRPr="00D0663F" w:rsidRDefault="00DB6D1C" w:rsidP="00D0663F">
      <w:pPr>
        <w:shd w:val="clear" w:color="auto" w:fill="FFFFFF"/>
        <w:spacing w:after="0" w:line="360" w:lineRule="auto"/>
        <w:ind w:left="284" w:right="284" w:firstLine="708"/>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considerato infatti che per la liquidazione del compenso riferito a tali ulteriori attività non assume rilevanza il valore del bene assoggettato all’esecuzione, con la conseguenza che alla stessa non può ritenersi applicabile la previsione della liquidazione di acconti, in misura non superiore al cinquanta per cento del compenso calcolato sulla base del valore di stima;</w:t>
      </w:r>
    </w:p>
    <w:p w:rsidR="00DB6D1C" w:rsidRPr="00D0663F" w:rsidRDefault="00E740F8" w:rsidP="00D0663F">
      <w:pPr>
        <w:shd w:val="clear" w:color="auto" w:fill="FFFFFF"/>
        <w:spacing w:after="0" w:line="360" w:lineRule="auto"/>
        <w:ind w:left="284" w:right="284" w:firstLine="360"/>
        <w:jc w:val="center"/>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comunica</w:t>
      </w:r>
    </w:p>
    <w:p w:rsidR="00E740F8" w:rsidRPr="00D0663F" w:rsidRDefault="00DB6D1C" w:rsidP="00D0663F">
      <w:pPr>
        <w:shd w:val="clear" w:color="auto" w:fill="FFFFFF"/>
        <w:spacing w:after="0" w:line="360" w:lineRule="auto"/>
        <w:ind w:left="284" w:right="284" w:firstLine="360"/>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b/>
          <w:color w:val="000000"/>
          <w:sz w:val="28"/>
          <w:szCs w:val="28"/>
          <w:u w:val="single"/>
          <w:lang w:eastAsia="it-IT"/>
        </w:rPr>
        <w:t>in ordine a tutte le perizie depositate a far data dal 20.08.2015</w:t>
      </w:r>
      <w:r w:rsidRPr="00D0663F">
        <w:rPr>
          <w:rFonts w:ascii="Times New Roman" w:eastAsia="Times New Roman" w:hAnsi="Times New Roman" w:cs="Times New Roman"/>
          <w:color w:val="000000"/>
          <w:sz w:val="28"/>
          <w:szCs w:val="28"/>
          <w:lang w:eastAsia="it-IT"/>
        </w:rPr>
        <w:t xml:space="preserve"> (deposito) che</w:t>
      </w:r>
      <w:r w:rsidR="00E740F8" w:rsidRPr="00D0663F">
        <w:rPr>
          <w:rFonts w:ascii="Times New Roman" w:eastAsia="Times New Roman" w:hAnsi="Times New Roman" w:cs="Times New Roman"/>
          <w:color w:val="000000"/>
          <w:sz w:val="28"/>
          <w:szCs w:val="28"/>
          <w:lang w:eastAsia="it-IT"/>
        </w:rPr>
        <w:t xml:space="preserve"> il Giudice liquiderà </w:t>
      </w:r>
    </w:p>
    <w:p w:rsidR="00DB6D1C" w:rsidRPr="00D0663F" w:rsidRDefault="00E740F8" w:rsidP="00D0663F">
      <w:pPr>
        <w:shd w:val="clear" w:color="auto" w:fill="FFFFFF"/>
        <w:spacing w:after="0" w:line="360" w:lineRule="auto"/>
        <w:ind w:left="284" w:right="284" w:firstLine="360"/>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a)</w:t>
      </w:r>
      <w:r w:rsidRPr="00D0663F">
        <w:rPr>
          <w:rFonts w:ascii="Times New Roman" w:eastAsia="Times New Roman" w:hAnsi="Times New Roman" w:cs="Times New Roman"/>
          <w:b/>
          <w:color w:val="000000"/>
          <w:sz w:val="28"/>
          <w:szCs w:val="28"/>
          <w:lang w:eastAsia="it-IT"/>
        </w:rPr>
        <w:t>immediatamente e per intero</w:t>
      </w:r>
      <w:r w:rsidRPr="00D0663F">
        <w:rPr>
          <w:rFonts w:ascii="Times New Roman" w:eastAsia="Times New Roman" w:hAnsi="Times New Roman" w:cs="Times New Roman"/>
          <w:color w:val="000000"/>
          <w:sz w:val="28"/>
          <w:szCs w:val="28"/>
          <w:lang w:eastAsia="it-IT"/>
        </w:rPr>
        <w:t xml:space="preserve"> dopo la prima udienza ex art. 569 </w:t>
      </w:r>
      <w:proofErr w:type="spellStart"/>
      <w:r w:rsidRPr="00D0663F">
        <w:rPr>
          <w:rFonts w:ascii="Times New Roman" w:eastAsia="Times New Roman" w:hAnsi="Times New Roman" w:cs="Times New Roman"/>
          <w:color w:val="000000"/>
          <w:sz w:val="28"/>
          <w:szCs w:val="28"/>
          <w:lang w:eastAsia="it-IT"/>
        </w:rPr>
        <w:t>c.p.c.</w:t>
      </w:r>
      <w:proofErr w:type="spellEnd"/>
      <w:r w:rsidR="00DB6D1C" w:rsidRPr="00D0663F">
        <w:rPr>
          <w:rFonts w:ascii="Times New Roman" w:eastAsia="Times New Roman" w:hAnsi="Times New Roman" w:cs="Times New Roman"/>
          <w:color w:val="000000"/>
          <w:sz w:val="28"/>
          <w:szCs w:val="28"/>
          <w:lang w:eastAsia="it-IT"/>
        </w:rPr>
        <w:t>:</w:t>
      </w:r>
    </w:p>
    <w:p w:rsidR="00DB6D1C" w:rsidRPr="00D0663F" w:rsidRDefault="00E740F8" w:rsidP="00D0663F">
      <w:pPr>
        <w:shd w:val="clear" w:color="auto" w:fill="FFFFFF"/>
        <w:spacing w:after="0" w:line="360" w:lineRule="auto"/>
        <w:ind w:left="284" w:right="284" w:hanging="360"/>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1</w:t>
      </w:r>
      <w:r w:rsidR="00DB6D1C" w:rsidRPr="00D0663F">
        <w:rPr>
          <w:rFonts w:ascii="Times New Roman" w:eastAsia="Times New Roman" w:hAnsi="Times New Roman" w:cs="Times New Roman"/>
          <w:color w:val="000000"/>
          <w:sz w:val="28"/>
          <w:szCs w:val="28"/>
          <w:lang w:eastAsia="it-IT"/>
        </w:rPr>
        <w:t xml:space="preserve">)      Il compenso </w:t>
      </w:r>
      <w:r w:rsidRPr="00D0663F">
        <w:rPr>
          <w:rFonts w:ascii="Times New Roman" w:eastAsia="Times New Roman" w:hAnsi="Times New Roman" w:cs="Times New Roman"/>
          <w:color w:val="000000"/>
          <w:sz w:val="28"/>
          <w:szCs w:val="28"/>
          <w:lang w:eastAsia="it-IT"/>
        </w:rPr>
        <w:t>eventualmente spettante ai sensi dell’art. 12 d</w:t>
      </w:r>
      <w:r w:rsidR="00DB6D1C" w:rsidRPr="00D0663F">
        <w:rPr>
          <w:rFonts w:ascii="Times New Roman" w:eastAsia="Times New Roman" w:hAnsi="Times New Roman" w:cs="Times New Roman"/>
          <w:color w:val="000000"/>
          <w:sz w:val="28"/>
          <w:szCs w:val="28"/>
          <w:lang w:eastAsia="it-IT"/>
        </w:rPr>
        <w:t>elle tabelle approvate con DPR n. 820 del 1983, come rideterminate dal DM 30 maggio 2002;</w:t>
      </w:r>
    </w:p>
    <w:p w:rsidR="00DB6D1C" w:rsidRPr="00D0663F" w:rsidRDefault="00E740F8" w:rsidP="00D0663F">
      <w:pPr>
        <w:shd w:val="clear" w:color="auto" w:fill="FFFFFF"/>
        <w:spacing w:after="0" w:line="360" w:lineRule="auto"/>
        <w:ind w:left="284" w:right="284" w:hanging="360"/>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2</w:t>
      </w:r>
      <w:r w:rsidR="00DB6D1C" w:rsidRPr="00D0663F">
        <w:rPr>
          <w:rFonts w:ascii="Times New Roman" w:eastAsia="Times New Roman" w:hAnsi="Times New Roman" w:cs="Times New Roman"/>
          <w:color w:val="000000"/>
          <w:sz w:val="28"/>
          <w:szCs w:val="28"/>
          <w:lang w:eastAsia="it-IT"/>
        </w:rPr>
        <w:t xml:space="preserve">)      </w:t>
      </w:r>
      <w:r w:rsidRPr="00D0663F">
        <w:rPr>
          <w:rFonts w:ascii="Times New Roman" w:eastAsia="Times New Roman" w:hAnsi="Times New Roman" w:cs="Times New Roman"/>
          <w:color w:val="000000"/>
          <w:sz w:val="28"/>
          <w:szCs w:val="28"/>
          <w:lang w:eastAsia="it-IT"/>
        </w:rPr>
        <w:t>Le spese sostenute</w:t>
      </w:r>
    </w:p>
    <w:p w:rsidR="00DB6D1C" w:rsidRPr="00D0663F" w:rsidRDefault="00E740F8" w:rsidP="00D0663F">
      <w:pPr>
        <w:shd w:val="clear" w:color="auto" w:fill="FFFFFF"/>
        <w:spacing w:after="0" w:line="360" w:lineRule="auto"/>
        <w:ind w:left="284" w:right="284" w:firstLine="360"/>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b</w:t>
      </w:r>
      <w:r w:rsidRPr="00D0663F">
        <w:rPr>
          <w:rFonts w:ascii="Times New Roman" w:eastAsia="Times New Roman" w:hAnsi="Times New Roman" w:cs="Times New Roman"/>
          <w:b/>
          <w:color w:val="000000"/>
          <w:sz w:val="28"/>
          <w:szCs w:val="28"/>
          <w:lang w:eastAsia="it-IT"/>
        </w:rPr>
        <w:t>) immediatamente e nella misura del 30%</w:t>
      </w:r>
      <w:r w:rsidRPr="00D0663F">
        <w:rPr>
          <w:rFonts w:ascii="Times New Roman" w:eastAsia="Times New Roman" w:hAnsi="Times New Roman" w:cs="Times New Roman"/>
          <w:color w:val="000000"/>
          <w:sz w:val="28"/>
          <w:szCs w:val="28"/>
          <w:lang w:eastAsia="it-IT"/>
        </w:rPr>
        <w:t xml:space="preserve"> il compenso spettante ai sensi dell’art. 13 delle </w:t>
      </w:r>
      <w:r w:rsidRPr="00D0663F">
        <w:rPr>
          <w:rFonts w:ascii="Times New Roman" w:eastAsia="Times New Roman" w:hAnsi="Times New Roman" w:cs="Times New Roman"/>
          <w:color w:val="000000"/>
          <w:sz w:val="28"/>
          <w:szCs w:val="28"/>
          <w:lang w:eastAsia="it-IT"/>
        </w:rPr>
        <w:t>tabelle approvate con DPR n. 820 del 1983, come rideterminate dal DM 30 maggio 2002</w:t>
      </w:r>
    </w:p>
    <w:p w:rsidR="00E740F8" w:rsidRPr="00D0663F" w:rsidRDefault="00E740F8" w:rsidP="00D0663F">
      <w:pPr>
        <w:shd w:val="clear" w:color="auto" w:fill="FFFFFF"/>
        <w:spacing w:after="0" w:line="360" w:lineRule="auto"/>
        <w:ind w:left="284" w:right="284" w:firstLine="360"/>
        <w:jc w:val="both"/>
        <w:rPr>
          <w:rFonts w:ascii="Times New Roman" w:eastAsia="Times New Roman" w:hAnsi="Times New Roman" w:cs="Times New Roman"/>
          <w:color w:val="000000"/>
          <w:sz w:val="28"/>
          <w:szCs w:val="28"/>
          <w:lang w:eastAsia="it-IT"/>
        </w:rPr>
      </w:pPr>
    </w:p>
    <w:p w:rsidR="00E740F8" w:rsidRPr="00D0663F" w:rsidRDefault="00E740F8" w:rsidP="00D0663F">
      <w:pPr>
        <w:shd w:val="clear" w:color="auto" w:fill="FFFFFF"/>
        <w:spacing w:after="0" w:line="360" w:lineRule="auto"/>
        <w:ind w:left="284" w:right="284" w:firstLine="360"/>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La restante somma dovuta ai sensi del ric</w:t>
      </w:r>
      <w:r w:rsidR="004A2F1D" w:rsidRPr="00D0663F">
        <w:rPr>
          <w:rFonts w:ascii="Times New Roman" w:eastAsia="Times New Roman" w:hAnsi="Times New Roman" w:cs="Times New Roman"/>
          <w:color w:val="000000"/>
          <w:sz w:val="28"/>
          <w:szCs w:val="28"/>
          <w:lang w:eastAsia="it-IT"/>
        </w:rPr>
        <w:t xml:space="preserve">hiamato art. 13 sarà liquidata al momento dell’emissione del decreto di trasferimento e, contestualmente sarà </w:t>
      </w:r>
      <w:r w:rsidR="004A2F1D" w:rsidRPr="00D0663F">
        <w:rPr>
          <w:rFonts w:ascii="Times New Roman" w:eastAsia="Times New Roman" w:hAnsi="Times New Roman" w:cs="Times New Roman"/>
          <w:color w:val="000000"/>
          <w:sz w:val="28"/>
          <w:szCs w:val="28"/>
          <w:lang w:eastAsia="it-IT"/>
        </w:rPr>
        <w:lastRenderedPageBreak/>
        <w:t>autorizzata l’emissione del mandato di pagamento (se vi è residuo) o ordinata la restituzione se il compenso già riscosso ai sensi dell’art. 13 risultasse superiore a quanto dovuto sulla base del prezzo effettivo di realizzo.</w:t>
      </w:r>
    </w:p>
    <w:p w:rsidR="00D0663F" w:rsidRPr="00D0663F" w:rsidRDefault="00D0663F" w:rsidP="00D0663F">
      <w:pPr>
        <w:spacing w:line="360" w:lineRule="auto"/>
        <w:ind w:left="284" w:right="284"/>
        <w:rPr>
          <w:rFonts w:ascii="Times New Roman" w:hAnsi="Times New Roman" w:cs="Times New Roman"/>
          <w:sz w:val="28"/>
          <w:szCs w:val="28"/>
        </w:rPr>
      </w:pPr>
    </w:p>
    <w:p w:rsidR="00D0663F" w:rsidRPr="00D0663F" w:rsidRDefault="00D0663F" w:rsidP="00B11670">
      <w:pPr>
        <w:spacing w:line="360" w:lineRule="auto"/>
        <w:ind w:left="284" w:right="284"/>
        <w:jc w:val="both"/>
        <w:rPr>
          <w:rFonts w:ascii="Times New Roman" w:hAnsi="Times New Roman" w:cs="Times New Roman"/>
          <w:sz w:val="28"/>
          <w:szCs w:val="28"/>
        </w:rPr>
      </w:pPr>
      <w:r w:rsidRPr="00D0663F">
        <w:rPr>
          <w:rFonts w:ascii="Times New Roman" w:hAnsi="Times New Roman" w:cs="Times New Roman"/>
          <w:b/>
          <w:sz w:val="28"/>
          <w:szCs w:val="28"/>
        </w:rPr>
        <w:t>NB.</w:t>
      </w:r>
      <w:r w:rsidRPr="00D0663F">
        <w:rPr>
          <w:rFonts w:ascii="Times New Roman" w:hAnsi="Times New Roman" w:cs="Times New Roman"/>
          <w:sz w:val="28"/>
          <w:szCs w:val="28"/>
        </w:rPr>
        <w:t xml:space="preserve"> Al fine di consentire il pagamento del residuo compenso dovuto all’esperto stimatore con il ricavato della vendita,  </w:t>
      </w:r>
      <w:r w:rsidRPr="00D0663F">
        <w:rPr>
          <w:rFonts w:ascii="Times New Roman" w:hAnsi="Times New Roman" w:cs="Times New Roman"/>
          <w:sz w:val="28"/>
          <w:szCs w:val="28"/>
          <w:u w:val="single"/>
        </w:rPr>
        <w:t>il creditore procedente dovrà trasmettere al delegato</w:t>
      </w:r>
      <w:r w:rsidRPr="00D0663F">
        <w:rPr>
          <w:rFonts w:ascii="Times New Roman" w:hAnsi="Times New Roman" w:cs="Times New Roman"/>
          <w:sz w:val="28"/>
          <w:szCs w:val="28"/>
        </w:rPr>
        <w:t xml:space="preserve">, al momento dell’aggiudicazione di ciascun lotto, </w:t>
      </w:r>
      <w:r w:rsidRPr="00D0663F">
        <w:rPr>
          <w:rFonts w:ascii="Times New Roman" w:hAnsi="Times New Roman" w:cs="Times New Roman"/>
          <w:sz w:val="28"/>
          <w:szCs w:val="28"/>
          <w:u w:val="single"/>
        </w:rPr>
        <w:t>il modello sotto indicato</w:t>
      </w:r>
      <w:r w:rsidRPr="00D0663F">
        <w:rPr>
          <w:rFonts w:ascii="Times New Roman" w:hAnsi="Times New Roman" w:cs="Times New Roman"/>
          <w:sz w:val="28"/>
          <w:szCs w:val="28"/>
        </w:rPr>
        <w:t xml:space="preserve">. </w:t>
      </w:r>
      <w:r w:rsidRPr="00D0663F">
        <w:rPr>
          <w:rFonts w:ascii="Times New Roman" w:hAnsi="Times New Roman" w:cs="Times New Roman"/>
          <w:sz w:val="28"/>
          <w:szCs w:val="28"/>
          <w:u w:val="single"/>
        </w:rPr>
        <w:t>In caso contrario</w:t>
      </w:r>
      <w:r w:rsidRPr="00D0663F">
        <w:rPr>
          <w:rFonts w:ascii="Times New Roman" w:hAnsi="Times New Roman" w:cs="Times New Roman"/>
          <w:sz w:val="28"/>
          <w:szCs w:val="28"/>
        </w:rPr>
        <w:t xml:space="preserve">, </w:t>
      </w:r>
      <w:r w:rsidR="00B11670">
        <w:rPr>
          <w:rFonts w:ascii="Times New Roman" w:hAnsi="Times New Roman" w:cs="Times New Roman"/>
          <w:sz w:val="28"/>
          <w:szCs w:val="28"/>
        </w:rPr>
        <w:t xml:space="preserve">il delegato allegherà attestazione di non aver ricevuto, se pure richiesta, la trasmissione del modello e </w:t>
      </w:r>
      <w:r w:rsidRPr="00D0663F">
        <w:rPr>
          <w:rFonts w:ascii="Times New Roman" w:hAnsi="Times New Roman" w:cs="Times New Roman"/>
          <w:sz w:val="28"/>
          <w:szCs w:val="28"/>
        </w:rPr>
        <w:t>il giudice liquiderà il</w:t>
      </w:r>
      <w:r w:rsidR="00B11670">
        <w:rPr>
          <w:rFonts w:ascii="Times New Roman" w:hAnsi="Times New Roman" w:cs="Times New Roman"/>
          <w:sz w:val="28"/>
          <w:szCs w:val="28"/>
        </w:rPr>
        <w:t xml:space="preserve"> residuo</w:t>
      </w:r>
      <w:r w:rsidRPr="00D0663F">
        <w:rPr>
          <w:rFonts w:ascii="Times New Roman" w:hAnsi="Times New Roman" w:cs="Times New Roman"/>
          <w:sz w:val="28"/>
          <w:szCs w:val="28"/>
        </w:rPr>
        <w:t xml:space="preserve"> compenso all’esperto che dovrà essere anticipato dal procedente\surrogato. Non saranno ammesse certificazioni tardive.</w:t>
      </w:r>
    </w:p>
    <w:p w:rsidR="00D0663F" w:rsidRPr="00D0663F" w:rsidRDefault="00D0663F" w:rsidP="00D0663F">
      <w:pPr>
        <w:spacing w:line="360" w:lineRule="auto"/>
        <w:ind w:left="284" w:right="284"/>
        <w:jc w:val="center"/>
        <w:rPr>
          <w:rFonts w:ascii="Times New Roman" w:hAnsi="Times New Roman" w:cs="Times New Roman"/>
          <w:b/>
          <w:sz w:val="28"/>
          <w:szCs w:val="28"/>
        </w:rPr>
      </w:pPr>
    </w:p>
    <w:p w:rsidR="00D0663F" w:rsidRPr="00D0663F" w:rsidRDefault="00D0663F" w:rsidP="00D0663F">
      <w:pPr>
        <w:spacing w:line="360" w:lineRule="auto"/>
        <w:ind w:left="284" w:right="284"/>
        <w:jc w:val="center"/>
        <w:rPr>
          <w:rFonts w:ascii="Times New Roman" w:hAnsi="Times New Roman" w:cs="Times New Roman"/>
          <w:b/>
          <w:sz w:val="28"/>
          <w:szCs w:val="28"/>
        </w:rPr>
      </w:pPr>
      <w:r w:rsidRPr="00D0663F">
        <w:rPr>
          <w:rFonts w:ascii="Times New Roman" w:hAnsi="Times New Roman" w:cs="Times New Roman"/>
          <w:b/>
          <w:sz w:val="28"/>
          <w:szCs w:val="28"/>
        </w:rPr>
        <w:t xml:space="preserve">MODELLO che il creditore procedente\surrogato deve depositare </w:t>
      </w:r>
      <w:r w:rsidRPr="00D0663F">
        <w:rPr>
          <w:rFonts w:ascii="Times New Roman" w:hAnsi="Times New Roman" w:cs="Times New Roman"/>
          <w:b/>
          <w:sz w:val="28"/>
          <w:szCs w:val="28"/>
          <w:u w:val="single"/>
        </w:rPr>
        <w:t>presso il delegato</w:t>
      </w:r>
      <w:r w:rsidRPr="00D0663F">
        <w:rPr>
          <w:rFonts w:ascii="Times New Roman" w:hAnsi="Times New Roman" w:cs="Times New Roman"/>
          <w:b/>
          <w:sz w:val="28"/>
          <w:szCs w:val="28"/>
        </w:rPr>
        <w:t xml:space="preserve"> al momento dell’aggiudicazione di ciascun lotto e che verrà dal delegato trasmesso al giudice unitamente alla bozza del decreto di trasferimento per la liquidazione del compenso finale all’esperto stimatore</w:t>
      </w:r>
    </w:p>
    <w:p w:rsidR="00D0663F" w:rsidRPr="00D0663F" w:rsidRDefault="00D0663F" w:rsidP="00D0663F">
      <w:pPr>
        <w:spacing w:line="360" w:lineRule="auto"/>
        <w:ind w:left="284" w:right="284"/>
        <w:jc w:val="both"/>
        <w:rPr>
          <w:rFonts w:ascii="Times New Roman" w:hAnsi="Times New Roman" w:cs="Times New Roman"/>
          <w:sz w:val="28"/>
          <w:szCs w:val="28"/>
        </w:rPr>
      </w:pPr>
    </w:p>
    <w:p w:rsidR="00D0663F" w:rsidRPr="00D0663F" w:rsidRDefault="00D0663F" w:rsidP="00D0663F">
      <w:pPr>
        <w:spacing w:line="360" w:lineRule="auto"/>
        <w:ind w:left="284" w:right="284"/>
        <w:jc w:val="both"/>
        <w:rPr>
          <w:rFonts w:ascii="Times New Roman" w:hAnsi="Times New Roman" w:cs="Times New Roman"/>
          <w:sz w:val="28"/>
          <w:szCs w:val="28"/>
        </w:rPr>
      </w:pPr>
      <w:r w:rsidRPr="00D0663F">
        <w:rPr>
          <w:rFonts w:ascii="Times New Roman" w:hAnsi="Times New Roman" w:cs="Times New Roman"/>
          <w:sz w:val="28"/>
          <w:szCs w:val="28"/>
        </w:rPr>
        <w:t xml:space="preserve">Il sottoscritto creditore procedente, con riferimento al lotto X, dichiara di aver corrisposto al </w:t>
      </w:r>
      <w:proofErr w:type="spellStart"/>
      <w:r w:rsidRPr="00D0663F">
        <w:rPr>
          <w:rFonts w:ascii="Times New Roman" w:hAnsi="Times New Roman" w:cs="Times New Roman"/>
          <w:sz w:val="28"/>
          <w:szCs w:val="28"/>
        </w:rPr>
        <w:t>ctu</w:t>
      </w:r>
      <w:proofErr w:type="spellEnd"/>
      <w:r w:rsidRPr="00D0663F">
        <w:rPr>
          <w:rFonts w:ascii="Times New Roman" w:hAnsi="Times New Roman" w:cs="Times New Roman"/>
          <w:sz w:val="28"/>
          <w:szCs w:val="28"/>
        </w:rPr>
        <w:t xml:space="preserve"> acconti per € __________, come da ricevuta\fattura che allega, da detrarsi dal compenso finale che sarà al medesimo liquidato sul ricavato dalla vendita.</w:t>
      </w:r>
    </w:p>
    <w:p w:rsidR="00D0663F" w:rsidRPr="00D0663F" w:rsidRDefault="00D0663F" w:rsidP="00D0663F">
      <w:pPr>
        <w:spacing w:line="360" w:lineRule="auto"/>
        <w:ind w:left="284" w:right="284"/>
        <w:jc w:val="both"/>
        <w:rPr>
          <w:rFonts w:ascii="Times New Roman" w:hAnsi="Times New Roman" w:cs="Times New Roman"/>
          <w:sz w:val="28"/>
          <w:szCs w:val="28"/>
        </w:rPr>
      </w:pPr>
      <w:r w:rsidRPr="00D0663F">
        <w:rPr>
          <w:rFonts w:ascii="Times New Roman" w:hAnsi="Times New Roman" w:cs="Times New Roman"/>
          <w:sz w:val="28"/>
          <w:szCs w:val="28"/>
        </w:rPr>
        <w:t>Firenze,</w:t>
      </w:r>
    </w:p>
    <w:p w:rsidR="00D0663F" w:rsidRPr="00D0663F" w:rsidRDefault="00D0663F" w:rsidP="00D0663F">
      <w:pPr>
        <w:spacing w:line="360" w:lineRule="auto"/>
        <w:ind w:left="284" w:right="284"/>
        <w:jc w:val="both"/>
        <w:rPr>
          <w:rFonts w:ascii="Times New Roman" w:hAnsi="Times New Roman" w:cs="Times New Roman"/>
          <w:sz w:val="28"/>
          <w:szCs w:val="28"/>
        </w:rPr>
      </w:pPr>
    </w:p>
    <w:p w:rsidR="00D0663F" w:rsidRPr="00D0663F" w:rsidRDefault="00D0663F" w:rsidP="00D0663F">
      <w:pPr>
        <w:spacing w:line="360" w:lineRule="auto"/>
        <w:ind w:left="284" w:right="284"/>
        <w:jc w:val="right"/>
        <w:rPr>
          <w:rFonts w:ascii="Times New Roman" w:hAnsi="Times New Roman" w:cs="Times New Roman"/>
          <w:sz w:val="28"/>
          <w:szCs w:val="28"/>
        </w:rPr>
      </w:pPr>
    </w:p>
    <w:p w:rsidR="00D0663F" w:rsidRPr="00D0663F" w:rsidRDefault="00D0663F" w:rsidP="00D0663F">
      <w:pPr>
        <w:spacing w:line="360" w:lineRule="auto"/>
        <w:ind w:left="284" w:right="284"/>
        <w:jc w:val="right"/>
        <w:rPr>
          <w:rFonts w:ascii="Times New Roman" w:hAnsi="Times New Roman" w:cs="Times New Roman"/>
          <w:sz w:val="28"/>
          <w:szCs w:val="28"/>
        </w:rPr>
      </w:pPr>
      <w:r w:rsidRPr="00D0663F">
        <w:rPr>
          <w:rFonts w:ascii="Times New Roman" w:hAnsi="Times New Roman" w:cs="Times New Roman"/>
          <w:sz w:val="28"/>
          <w:szCs w:val="28"/>
        </w:rPr>
        <w:t>Il Creditore procedente</w:t>
      </w:r>
    </w:p>
    <w:p w:rsidR="00D0663F" w:rsidRPr="00D0663F" w:rsidRDefault="00D0663F" w:rsidP="00D0663F">
      <w:pPr>
        <w:spacing w:line="360" w:lineRule="auto"/>
        <w:ind w:left="284" w:right="284"/>
        <w:rPr>
          <w:rFonts w:ascii="Times New Roman" w:hAnsi="Times New Roman" w:cs="Times New Roman"/>
          <w:sz w:val="28"/>
          <w:szCs w:val="28"/>
        </w:rPr>
      </w:pPr>
    </w:p>
    <w:p w:rsidR="00D0663F" w:rsidRPr="00D0663F" w:rsidRDefault="00D0663F" w:rsidP="00D0663F">
      <w:pPr>
        <w:spacing w:line="360" w:lineRule="auto"/>
        <w:ind w:left="284" w:right="284"/>
        <w:rPr>
          <w:rFonts w:ascii="Times New Roman" w:hAnsi="Times New Roman" w:cs="Times New Roman"/>
          <w:sz w:val="28"/>
          <w:szCs w:val="28"/>
        </w:rPr>
      </w:pPr>
      <w:r w:rsidRPr="00D0663F">
        <w:rPr>
          <w:rFonts w:ascii="Times New Roman" w:hAnsi="Times New Roman" w:cs="Times New Roman"/>
          <w:sz w:val="28"/>
          <w:szCs w:val="28"/>
        </w:rPr>
        <w:t xml:space="preserve">Nota: In caso di </w:t>
      </w:r>
      <w:r w:rsidRPr="00D0663F">
        <w:rPr>
          <w:rFonts w:ascii="Times New Roman" w:hAnsi="Times New Roman" w:cs="Times New Roman"/>
          <w:sz w:val="28"/>
          <w:szCs w:val="28"/>
          <w:u w:val="single"/>
        </w:rPr>
        <w:t>estinzione del processo</w:t>
      </w:r>
      <w:r w:rsidRPr="00D0663F">
        <w:rPr>
          <w:rFonts w:ascii="Times New Roman" w:hAnsi="Times New Roman" w:cs="Times New Roman"/>
          <w:sz w:val="28"/>
          <w:szCs w:val="28"/>
        </w:rPr>
        <w:t xml:space="preserve"> </w:t>
      </w:r>
      <w:r w:rsidRPr="00D0663F">
        <w:rPr>
          <w:rFonts w:ascii="Times New Roman" w:hAnsi="Times New Roman" w:cs="Times New Roman"/>
          <w:sz w:val="28"/>
          <w:szCs w:val="28"/>
        </w:rPr>
        <w:t>Il compenso dell’esperto e dello stimatore saranno liquidati sulla base del valore di stima o dell’ultima vendita andata deserta.</w:t>
      </w:r>
    </w:p>
    <w:p w:rsidR="00D0663F" w:rsidRPr="00D0663F" w:rsidRDefault="00D0663F" w:rsidP="00D0663F">
      <w:pPr>
        <w:shd w:val="clear" w:color="auto" w:fill="FFFFFF"/>
        <w:spacing w:after="0" w:line="360" w:lineRule="auto"/>
        <w:ind w:left="284" w:right="284" w:firstLine="360"/>
        <w:jc w:val="both"/>
        <w:rPr>
          <w:rFonts w:ascii="Times New Roman" w:eastAsia="Times New Roman" w:hAnsi="Times New Roman" w:cs="Times New Roman"/>
          <w:color w:val="000000"/>
          <w:sz w:val="28"/>
          <w:szCs w:val="28"/>
          <w:lang w:eastAsia="it-IT"/>
        </w:rPr>
      </w:pPr>
      <w:r w:rsidRPr="00D0663F">
        <w:rPr>
          <w:rFonts w:ascii="Times New Roman" w:eastAsia="Times New Roman" w:hAnsi="Times New Roman" w:cs="Times New Roman"/>
          <w:color w:val="000000"/>
          <w:sz w:val="28"/>
          <w:szCs w:val="28"/>
          <w:lang w:eastAsia="it-IT"/>
        </w:rPr>
        <w:t>Firenze,  13 ottobre 2015</w:t>
      </w:r>
    </w:p>
    <w:p w:rsidR="00D0663F" w:rsidRPr="00D0663F" w:rsidRDefault="00D0663F" w:rsidP="00D0663F">
      <w:pPr>
        <w:spacing w:line="360" w:lineRule="auto"/>
        <w:ind w:left="284" w:right="284"/>
        <w:rPr>
          <w:rFonts w:ascii="Times New Roman" w:hAnsi="Times New Roman" w:cs="Times New Roman"/>
          <w:sz w:val="28"/>
          <w:szCs w:val="28"/>
        </w:rPr>
      </w:pPr>
    </w:p>
    <w:p w:rsidR="00D0663F" w:rsidRPr="00D0663F" w:rsidRDefault="00D0663F" w:rsidP="00D0663F">
      <w:pPr>
        <w:spacing w:line="360" w:lineRule="auto"/>
        <w:ind w:left="284" w:right="284"/>
        <w:rPr>
          <w:rFonts w:ascii="Times New Roman" w:hAnsi="Times New Roman" w:cs="Times New Roman"/>
          <w:sz w:val="28"/>
          <w:szCs w:val="28"/>
        </w:rPr>
      </w:pPr>
    </w:p>
    <w:p w:rsidR="00D0663F" w:rsidRPr="00D0663F" w:rsidRDefault="00D0663F" w:rsidP="00D0663F">
      <w:pPr>
        <w:spacing w:line="360" w:lineRule="auto"/>
        <w:ind w:left="284" w:right="284"/>
        <w:jc w:val="right"/>
        <w:rPr>
          <w:rFonts w:ascii="Times New Roman" w:hAnsi="Times New Roman" w:cs="Times New Roman"/>
          <w:sz w:val="28"/>
          <w:szCs w:val="28"/>
        </w:rPr>
      </w:pPr>
      <w:r w:rsidRPr="00D0663F">
        <w:rPr>
          <w:rFonts w:ascii="Times New Roman" w:hAnsi="Times New Roman" w:cs="Times New Roman"/>
          <w:sz w:val="28"/>
          <w:szCs w:val="28"/>
        </w:rPr>
        <w:t>Il Giudice delle esecuzioni</w:t>
      </w:r>
    </w:p>
    <w:p w:rsidR="00D0663F" w:rsidRPr="00D0663F" w:rsidRDefault="00D0663F" w:rsidP="00D0663F">
      <w:pPr>
        <w:spacing w:line="360" w:lineRule="auto"/>
        <w:ind w:left="284" w:right="284"/>
        <w:jc w:val="right"/>
        <w:rPr>
          <w:rFonts w:ascii="Times New Roman" w:hAnsi="Times New Roman" w:cs="Times New Roman"/>
          <w:sz w:val="28"/>
          <w:szCs w:val="28"/>
        </w:rPr>
      </w:pPr>
      <w:r w:rsidRPr="00D0663F">
        <w:rPr>
          <w:rFonts w:ascii="Times New Roman" w:hAnsi="Times New Roman" w:cs="Times New Roman"/>
          <w:sz w:val="28"/>
          <w:szCs w:val="28"/>
        </w:rPr>
        <w:t xml:space="preserve">Lucia </w:t>
      </w:r>
      <w:proofErr w:type="spellStart"/>
      <w:r w:rsidRPr="00D0663F">
        <w:rPr>
          <w:rFonts w:ascii="Times New Roman" w:hAnsi="Times New Roman" w:cs="Times New Roman"/>
          <w:sz w:val="28"/>
          <w:szCs w:val="28"/>
        </w:rPr>
        <w:t>Schiaretti</w:t>
      </w:r>
      <w:proofErr w:type="spellEnd"/>
    </w:p>
    <w:p w:rsidR="00E740F8" w:rsidRPr="00D0663F" w:rsidRDefault="00E740F8" w:rsidP="00D0663F">
      <w:pPr>
        <w:shd w:val="clear" w:color="auto" w:fill="FFFFFF"/>
        <w:spacing w:after="0" w:line="360" w:lineRule="auto"/>
        <w:ind w:left="284" w:right="284" w:firstLine="360"/>
        <w:jc w:val="both"/>
        <w:rPr>
          <w:rFonts w:ascii="Times New Roman" w:eastAsia="Times New Roman" w:hAnsi="Times New Roman" w:cs="Times New Roman"/>
          <w:color w:val="000000"/>
          <w:sz w:val="28"/>
          <w:szCs w:val="28"/>
          <w:lang w:eastAsia="it-IT"/>
        </w:rPr>
      </w:pPr>
    </w:p>
    <w:p w:rsidR="00CB560E" w:rsidRPr="00D0663F" w:rsidRDefault="00B11670" w:rsidP="00D0663F">
      <w:pPr>
        <w:ind w:left="284" w:right="284"/>
        <w:rPr>
          <w:rFonts w:ascii="Times New Roman" w:hAnsi="Times New Roman" w:cs="Times New Roman"/>
          <w:sz w:val="28"/>
          <w:szCs w:val="28"/>
        </w:rPr>
      </w:pPr>
      <w:bookmarkStart w:id="0" w:name="_GoBack"/>
      <w:bookmarkEnd w:id="0"/>
    </w:p>
    <w:sectPr w:rsidR="00CB560E" w:rsidRPr="00D066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1C"/>
    <w:rsid w:val="004A2F1D"/>
    <w:rsid w:val="005378BE"/>
    <w:rsid w:val="00657062"/>
    <w:rsid w:val="00663CED"/>
    <w:rsid w:val="00B11670"/>
    <w:rsid w:val="00D0663F"/>
    <w:rsid w:val="00DB6D1C"/>
    <w:rsid w:val="00E74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DB6D1C"/>
    <w:pPr>
      <w:spacing w:before="100" w:beforeAutospacing="1" w:after="100" w:afterAutospacing="1" w:line="240" w:lineRule="auto"/>
    </w:pPr>
    <w:rPr>
      <w:rFonts w:ascii="Tahoma" w:eastAsia="Times New Roman" w:hAnsi="Tahoma" w:cs="Tahoma"/>
      <w:sz w:val="18"/>
      <w:szCs w:val="18"/>
      <w:lang w:eastAsia="it-IT"/>
    </w:rPr>
  </w:style>
  <w:style w:type="character" w:customStyle="1" w:styleId="TitoloCarattere">
    <w:name w:val="Titolo Carattere"/>
    <w:basedOn w:val="Carpredefinitoparagrafo"/>
    <w:link w:val="Titolo"/>
    <w:uiPriority w:val="10"/>
    <w:rsid w:val="00DB6D1C"/>
    <w:rPr>
      <w:rFonts w:ascii="Tahoma" w:eastAsia="Times New Roman" w:hAnsi="Tahoma" w:cs="Tahoma"/>
      <w:sz w:val="18"/>
      <w:szCs w:val="18"/>
      <w:lang w:eastAsia="it-IT"/>
    </w:rPr>
  </w:style>
  <w:style w:type="paragraph" w:styleId="Sottotitolo">
    <w:name w:val="Subtitle"/>
    <w:basedOn w:val="Normale"/>
    <w:link w:val="SottotitoloCarattere"/>
    <w:uiPriority w:val="11"/>
    <w:qFormat/>
    <w:rsid w:val="00DB6D1C"/>
    <w:pPr>
      <w:spacing w:before="100" w:beforeAutospacing="1" w:after="100" w:afterAutospacing="1" w:line="240" w:lineRule="auto"/>
    </w:pPr>
    <w:rPr>
      <w:rFonts w:ascii="Tahoma" w:eastAsia="Times New Roman" w:hAnsi="Tahoma" w:cs="Tahoma"/>
      <w:sz w:val="18"/>
      <w:szCs w:val="18"/>
      <w:lang w:eastAsia="it-IT"/>
    </w:rPr>
  </w:style>
  <w:style w:type="character" w:customStyle="1" w:styleId="SottotitoloCarattere">
    <w:name w:val="Sottotitolo Carattere"/>
    <w:basedOn w:val="Carpredefinitoparagrafo"/>
    <w:link w:val="Sottotitolo"/>
    <w:uiPriority w:val="11"/>
    <w:rsid w:val="00DB6D1C"/>
    <w:rPr>
      <w:rFonts w:ascii="Tahoma" w:eastAsia="Times New Roman" w:hAnsi="Tahoma" w:cs="Tahoma"/>
      <w:sz w:val="18"/>
      <w:szCs w:val="18"/>
      <w:lang w:eastAsia="it-IT"/>
    </w:rPr>
  </w:style>
  <w:style w:type="paragraph" w:styleId="Testofumetto">
    <w:name w:val="Balloon Text"/>
    <w:basedOn w:val="Normale"/>
    <w:link w:val="TestofumettoCarattere"/>
    <w:uiPriority w:val="99"/>
    <w:semiHidden/>
    <w:unhideWhenUsed/>
    <w:rsid w:val="00B11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DB6D1C"/>
    <w:pPr>
      <w:spacing w:before="100" w:beforeAutospacing="1" w:after="100" w:afterAutospacing="1" w:line="240" w:lineRule="auto"/>
    </w:pPr>
    <w:rPr>
      <w:rFonts w:ascii="Tahoma" w:eastAsia="Times New Roman" w:hAnsi="Tahoma" w:cs="Tahoma"/>
      <w:sz w:val="18"/>
      <w:szCs w:val="18"/>
      <w:lang w:eastAsia="it-IT"/>
    </w:rPr>
  </w:style>
  <w:style w:type="character" w:customStyle="1" w:styleId="TitoloCarattere">
    <w:name w:val="Titolo Carattere"/>
    <w:basedOn w:val="Carpredefinitoparagrafo"/>
    <w:link w:val="Titolo"/>
    <w:uiPriority w:val="10"/>
    <w:rsid w:val="00DB6D1C"/>
    <w:rPr>
      <w:rFonts w:ascii="Tahoma" w:eastAsia="Times New Roman" w:hAnsi="Tahoma" w:cs="Tahoma"/>
      <w:sz w:val="18"/>
      <w:szCs w:val="18"/>
      <w:lang w:eastAsia="it-IT"/>
    </w:rPr>
  </w:style>
  <w:style w:type="paragraph" w:styleId="Sottotitolo">
    <w:name w:val="Subtitle"/>
    <w:basedOn w:val="Normale"/>
    <w:link w:val="SottotitoloCarattere"/>
    <w:uiPriority w:val="11"/>
    <w:qFormat/>
    <w:rsid w:val="00DB6D1C"/>
    <w:pPr>
      <w:spacing w:before="100" w:beforeAutospacing="1" w:after="100" w:afterAutospacing="1" w:line="240" w:lineRule="auto"/>
    </w:pPr>
    <w:rPr>
      <w:rFonts w:ascii="Tahoma" w:eastAsia="Times New Roman" w:hAnsi="Tahoma" w:cs="Tahoma"/>
      <w:sz w:val="18"/>
      <w:szCs w:val="18"/>
      <w:lang w:eastAsia="it-IT"/>
    </w:rPr>
  </w:style>
  <w:style w:type="character" w:customStyle="1" w:styleId="SottotitoloCarattere">
    <w:name w:val="Sottotitolo Carattere"/>
    <w:basedOn w:val="Carpredefinitoparagrafo"/>
    <w:link w:val="Sottotitolo"/>
    <w:uiPriority w:val="11"/>
    <w:rsid w:val="00DB6D1C"/>
    <w:rPr>
      <w:rFonts w:ascii="Tahoma" w:eastAsia="Times New Roman" w:hAnsi="Tahoma" w:cs="Tahoma"/>
      <w:sz w:val="18"/>
      <w:szCs w:val="18"/>
      <w:lang w:eastAsia="it-IT"/>
    </w:rPr>
  </w:style>
  <w:style w:type="paragraph" w:styleId="Testofumetto">
    <w:name w:val="Balloon Text"/>
    <w:basedOn w:val="Normale"/>
    <w:link w:val="TestofumettoCarattere"/>
    <w:uiPriority w:val="99"/>
    <w:semiHidden/>
    <w:unhideWhenUsed/>
    <w:rsid w:val="00B11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3661">
      <w:bodyDiv w:val="1"/>
      <w:marLeft w:val="0"/>
      <w:marRight w:val="0"/>
      <w:marTop w:val="300"/>
      <w:marBottom w:val="0"/>
      <w:divBdr>
        <w:top w:val="none" w:sz="0" w:space="0" w:color="auto"/>
        <w:left w:val="none" w:sz="0" w:space="0" w:color="auto"/>
        <w:bottom w:val="none" w:sz="0" w:space="0" w:color="auto"/>
        <w:right w:val="none" w:sz="0" w:space="0" w:color="auto"/>
      </w:divBdr>
      <w:divsChild>
        <w:div w:id="1792817893">
          <w:marLeft w:val="0"/>
          <w:marRight w:val="0"/>
          <w:marTop w:val="0"/>
          <w:marBottom w:val="0"/>
          <w:divBdr>
            <w:top w:val="none" w:sz="0" w:space="0" w:color="auto"/>
            <w:left w:val="none" w:sz="0" w:space="0" w:color="auto"/>
            <w:bottom w:val="none" w:sz="0" w:space="0" w:color="auto"/>
            <w:right w:val="none" w:sz="0" w:space="0" w:color="auto"/>
          </w:divBdr>
          <w:divsChild>
            <w:div w:id="241453454">
              <w:marLeft w:val="120"/>
              <w:marRight w:val="120"/>
              <w:marTop w:val="120"/>
              <w:marBottom w:val="120"/>
              <w:divBdr>
                <w:top w:val="single" w:sz="6" w:space="8" w:color="CCCCCC"/>
                <w:left w:val="none" w:sz="0" w:space="0" w:color="auto"/>
                <w:bottom w:val="none" w:sz="0" w:space="0" w:color="auto"/>
                <w:right w:val="none" w:sz="0" w:space="0" w:color="auto"/>
              </w:divBdr>
              <w:divsChild>
                <w:div w:id="263079404">
                  <w:marLeft w:val="120"/>
                  <w:marRight w:val="120"/>
                  <w:marTop w:val="120"/>
                  <w:marBottom w:val="120"/>
                  <w:divBdr>
                    <w:top w:val="none" w:sz="0" w:space="0" w:color="auto"/>
                    <w:left w:val="none" w:sz="0" w:space="0" w:color="auto"/>
                    <w:bottom w:val="none" w:sz="0" w:space="0" w:color="auto"/>
                    <w:right w:val="none" w:sz="0" w:space="0" w:color="auto"/>
                  </w:divBdr>
                  <w:divsChild>
                    <w:div w:id="1330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Schiaretti</dc:creator>
  <cp:lastModifiedBy>Lucia Schiaretti</cp:lastModifiedBy>
  <cp:revision>2</cp:revision>
  <cp:lastPrinted>2015-10-14T07:33:00Z</cp:lastPrinted>
  <dcterms:created xsi:type="dcterms:W3CDTF">2015-10-14T07:34:00Z</dcterms:created>
  <dcterms:modified xsi:type="dcterms:W3CDTF">2015-10-14T07:34:00Z</dcterms:modified>
</cp:coreProperties>
</file>